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laulības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Dzīvesvietas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Dzīvesvietas adrese: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nosaka laulāto mantiskās attiecības, īpašuma sadali un citus ar laulību saistītus jautājumus.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Kopīpašums: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Atsevišķais īpašums: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Laulātie vienojas par šādām mantiskajām saistībām: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Laulātie vienojas par šādu mantisko atbildību: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Bērnu aprūpe un uzturēšana: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grozījumi: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 tā izbeigšanai pēc pušu vienošanās vai tiesas lēmuma.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Vīrs: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Sieviete: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Apliecinu, ka esmu iepazinies ar Līguma saturu un piekrītu tā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Apliecinātāja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Apliecinātāja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