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Nodomu līgums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Šis nodomu līgums (turpmāk – Līgums) ir noslēgts starp: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Puse A: , personas kods: , adrese: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Puse B: , personas kods: , adrese: .</w:t>
      </w:r>
    </w:p>
    <w:p>
      <w:pPr>
        <w:pStyle w:val="ListNumber"/>
      </w:pPr>
      <w:r>
        <w:rPr>
          <w:rFonts w:ascii="Rubik Regular" w:hAnsi="Rubik Regular"/>
          <w:sz w:val="24"/>
        </w:rPr>
        <w:t>Līguma priekšmets</w:t>
      </w:r>
    </w:p>
    <w:p>
      <w:pPr>
        <w:spacing w:line="360" w:lineRule="auto"/>
      </w:pPr>
      <w:r>
        <w:rPr>
          <w:rFonts w:ascii="Rubik Regular" w:hAnsi="Rubik Regular"/>
          <w:sz w:val="24"/>
        </w:rPr>
        <w:t>1.1. Puses vienojas par nodomu sadarboties šādā jomā: .</w:t>
      </w:r>
    </w:p>
    <w:p>
      <w:pPr>
        <w:pStyle w:val="ListNumber"/>
      </w:pPr>
      <w:r>
        <w:rPr>
          <w:rFonts w:ascii="Rubik Regular" w:hAnsi="Rubik Regular"/>
          <w:sz w:val="24"/>
        </w:rPr>
        <w:t>Pienākumi un atbildība</w:t>
      </w:r>
    </w:p>
    <w:p>
      <w:pPr>
        <w:spacing w:line="360" w:lineRule="auto"/>
      </w:pPr>
      <w:r>
        <w:rPr>
          <w:rFonts w:ascii="Rubik Regular" w:hAnsi="Rubik Regular"/>
          <w:sz w:val="24"/>
        </w:rPr>
        <w:t>2.1. Puse A apņemas veikt šādas darbības: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2.2. Puse B apņemas veikt šādas darbības: .</w:t>
      </w:r>
    </w:p>
    <w:p>
      <w:pPr>
        <w:pStyle w:val="ListNumber"/>
      </w:pPr>
      <w:r>
        <w:rPr>
          <w:rFonts w:ascii="Rubik Regular" w:hAnsi="Rubik Regular"/>
          <w:sz w:val="24"/>
        </w:rPr>
        <w:t>Līguma termiņš</w:t>
      </w:r>
    </w:p>
    <w:p>
      <w:pPr>
        <w:spacing w:line="360" w:lineRule="auto"/>
      </w:pPr>
      <w:r>
        <w:rPr>
          <w:rFonts w:ascii="Rubik Regular" w:hAnsi="Rubik Regular"/>
          <w:sz w:val="24"/>
        </w:rPr>
        <w:t>3.1. Līgums stājas spēkā no  un ir spēkā līdz .</w:t>
      </w:r>
    </w:p>
    <w:p>
      <w:pPr>
        <w:pStyle w:val="ListNumber"/>
      </w:pPr>
      <w:r>
        <w:rPr>
          <w:rFonts w:ascii="Rubik Regular" w:hAnsi="Rubik Regular"/>
          <w:sz w:val="24"/>
        </w:rPr>
        <w:t>Citi noteikumi</w:t>
      </w:r>
    </w:p>
    <w:p>
      <w:pPr>
        <w:spacing w:line="360" w:lineRule="auto"/>
      </w:pPr>
      <w:r>
        <w:rPr>
          <w:rFonts w:ascii="Rubik Regular" w:hAnsi="Rubik Regular"/>
          <w:sz w:val="24"/>
        </w:rPr>
        <w:t>4.1. Jebkuras izmaiņas Līgumā ir spēkā tikai tad, ja tās ir rakstiski apstiprinātas abu Pušu parakstiem.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4.2. Līgums sastādīts divos eksemplāros, pa vienam katrai Pusei.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Puses paraksti: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Puse A: ___________________________ Datums: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Puse B: ___________________________ Datums: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